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30.08.2021 №94.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страхования</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страхования»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«Экономика страхования».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страхования»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и реализации новых программ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международное и национальное законодательство в области страхования, нормативные и методические документы в области страхования (перестрахования)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анализировать существующие страховые программы и страховые продукты</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разрабатывать новые страховые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создавать условия для привлечения клиентов по новым программам страхования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анализировать риски на международном и национальном уровне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выявления неудовлетворенного спроса на страховые услуги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владеть навыками привлечения потребителей страховых услуг к заключению договоров по новым программам страхования</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потребителей и поставщиков страховых (перестраховочных) услуг и иных лиц (в том числе органы власти) по вопросам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страхования и страховое дело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готовить аналитические отчеты, экспертные заключения и методические рекомендации для потребителей страховых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владеть навыками исследования рынков страховых услуг</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владеть навыками подготовки аналитических отчетов, экспертных заключений и методических рекомендаций для потребителей страховых услуг</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«Экономика страхования» относится к обязательной части, является дисциплиной Блока Б1. «Дисциплины (модули)». Модуль " Создание, реализация и поддержка страховых программ" основной профессиональной образовательной программы высшего образования - магистратура по направлению подготовки 38.04.01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Страховое дело</w:t>
            </w:r>
          </w:p>
          <w:p>
            <w:pPr>
              <w:jc w:val="center"/>
              <w:spacing w:after="0" w:line="240" w:lineRule="auto"/>
              <w:rPr>
                <w:sz w:val="22"/>
                <w:szCs w:val="22"/>
              </w:rPr>
            </w:pPr>
            <w:r>
              <w:rPr>
                <w:rFonts w:ascii="Times New Roman" w:hAnsi="Times New Roman" w:cs="Times New Roman"/>
                <w:color w:val="#000000"/>
                <w:sz w:val="22"/>
                <w:szCs w:val="22"/>
              </w:rPr>
              <w:t> Страховое право</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(практика по профилю профессиональной деятельности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1. Организация страховой деятельности и ее нормативно -правовая база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2. Основы построения страховых тарифов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построения страховых таррифов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страховых тарифов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построения страховых таррифов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3. Инвестиционная деятельность страховщиков: мировой опыт и российская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инвестирования в страховой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4. Экономические и финансовые основы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финансовых основ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финансовых показателелй страхования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финансовых показателей в страховании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14.58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5. Финансовая устойчивость страховщиков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оценки финансового положения страховщиков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оценки надежности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финансовой устойчивости страховой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334.6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страховой деятельности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Организационно-правовые формы страховых компаний. деятельности</w:t>
            </w:r>
          </w:p>
          <w:p>
            <w:pPr>
              <w:jc w:val="both"/>
              <w:spacing w:after="0" w:line="240" w:lineRule="auto"/>
              <w:rPr>
                <w:sz w:val="24"/>
                <w:szCs w:val="24"/>
              </w:rPr>
            </w:pPr>
            <w:r>
              <w:rPr>
                <w:rFonts w:ascii="Times New Roman" w:hAnsi="Times New Roman" w:cs="Times New Roman"/>
                <w:color w:val="#000000"/>
                <w:sz w:val="24"/>
                <w:szCs w:val="24"/>
              </w:rPr>
              <w:t> Страховые посредники.</w:t>
            </w:r>
          </w:p>
          <w:p>
            <w:pPr>
              <w:jc w:val="both"/>
              <w:spacing w:after="0" w:line="240" w:lineRule="auto"/>
              <w:rPr>
                <w:sz w:val="24"/>
                <w:szCs w:val="24"/>
              </w:rPr>
            </w:pPr>
            <w:r>
              <w:rPr>
                <w:rFonts w:ascii="Times New Roman" w:hAnsi="Times New Roman" w:cs="Times New Roman"/>
                <w:color w:val="#000000"/>
                <w:sz w:val="24"/>
                <w:szCs w:val="24"/>
              </w:rPr>
              <w:t> Объединения страховщиков.</w:t>
            </w:r>
          </w:p>
          <w:p>
            <w:pPr>
              <w:jc w:val="both"/>
              <w:spacing w:after="0" w:line="240" w:lineRule="auto"/>
              <w:rPr>
                <w:sz w:val="24"/>
                <w:szCs w:val="24"/>
              </w:rPr>
            </w:pPr>
            <w:r>
              <w:rPr>
                <w:rFonts w:ascii="Times New Roman" w:hAnsi="Times New Roman" w:cs="Times New Roman"/>
                <w:color w:val="#000000"/>
                <w:sz w:val="24"/>
                <w:szCs w:val="24"/>
              </w:rPr>
              <w:t> Государственный надзор за деятельностью страховщиков.</w:t>
            </w:r>
          </w:p>
          <w:p>
            <w:pPr>
              <w:jc w:val="both"/>
              <w:spacing w:after="0" w:line="240" w:lineRule="auto"/>
              <w:rPr>
                <w:sz w:val="24"/>
                <w:szCs w:val="24"/>
              </w:rPr>
            </w:pPr>
            <w:r>
              <w:rPr>
                <w:rFonts w:ascii="Times New Roman" w:hAnsi="Times New Roman" w:cs="Times New Roman"/>
                <w:color w:val="#000000"/>
                <w:sz w:val="24"/>
                <w:szCs w:val="24"/>
              </w:rPr>
              <w:t> Лицензирование страховой деятельности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Договор страхования.</w:t>
            </w:r>
          </w:p>
          <w:p>
            <w:pPr>
              <w:jc w:val="both"/>
              <w:spacing w:after="0" w:line="240" w:lineRule="auto"/>
              <w:rPr>
                <w:sz w:val="24"/>
                <w:szCs w:val="24"/>
              </w:rPr>
            </w:pPr>
            <w:r>
              <w:rPr>
                <w:rFonts w:ascii="Times New Roman" w:hAnsi="Times New Roman" w:cs="Times New Roman"/>
                <w:color w:val="#000000"/>
                <w:sz w:val="24"/>
                <w:szCs w:val="24"/>
              </w:rPr>
              <w:t> Сущность, формы и юридические основы. Перестрахования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построения страховых таррифов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тарифной политики. Роль тарифов в формировании страхового фонда. Методика расчёта тарифов, использование актуарных расчётов. Принципы дифференциации тарифных ставок. Состав и структура тарифной ставки. Франшиза, её виды, роль в формировании страхового тарифа. Убыточность страховой суммы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финансовых основ страхования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Доходы, расходы и прибыль страховщика. Принципы организации финансов страховой компании. Состав и структура доходов и расходов страховой компании. Правила формирования страховых резервов и их размещения. Прибыль и рентабельность операций и отдельных видов страхования. Система налогообложения страховой деятельности в России. Экономическая и аналитическая работа в страховой компании. Страховой портфель компании. Страховой маркетинг. Внедрение современных информационных технологий в деятельность страховых компаний. Предупредительные мероприятия и их финансирование страховщиками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оценки финансового положения страховщиков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Платежеспособность страховой компании. Критерии финансовой устойчивости страховой компании. Оценка надежности страховой компании при помощи финансовых показателей (ликвидность, рентабельность, коэффициент Коньшина и др.). Группы факторов, характеризующих надёжность страховой компании для компании и её клиентов: финансовые и нефинансовые. Критерии составления рейтинга страховщиков. Аудит страховой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страховых тарифов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тарифов, использование актуарных расчётов.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финансовых показателелй страхования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доходов,расходов и прибыли страховщиков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оценки надежности страховой компании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Финансовые показатели(ликвидность, рентабельность, коэффициент Коньшина и др.). Заполнение аудитоского заключения страховой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страхования» / Герасимова Н.О..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Архангельская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Асяева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Ахвледиани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Бакланова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Качалова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Мягкова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Рябикин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Саввина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Трифонов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Финогенова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Хабаров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Челухина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Хоминич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978-5-534-08590-7.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https://urait.ru/bcode/474955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Орланюк-Малицкая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Богоявленский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Горулев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Синишев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978-5-534-12272-5.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https://urait.ru/bcode/447155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https://urait.ru/bcode/455363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Скамай</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978-5-534-09293-6.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https://urait.ru/bcode/468422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страховых</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978-5-534-04217-7.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https://urait.ru/bcode/472575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Костюхин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Обухова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Скрябин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https://urait.ru/bcode/452795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39.5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339.2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2021-2022_ФГОС3++2021_Маг-ЗФО-Э(КУРиС)(21)_plx_Экономика страхования</dc:title>
  <dc:creator>FastReport.NET</dc:creator>
</cp:coreProperties>
</file>